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A16" w:rsidRDefault="00443A16" w:rsidP="00443A16">
      <w:pPr>
        <w:shd w:val="clear" w:color="auto" w:fill="FFFFFF"/>
        <w:jc w:val="center"/>
        <w:rPr>
          <w:b/>
          <w:lang w:val="sr-Cyrl-CS"/>
        </w:rPr>
      </w:pPr>
      <w:r>
        <w:rPr>
          <w:b/>
          <w:lang w:val="sr-Cyrl-CS"/>
        </w:rPr>
        <w:t xml:space="preserve">ОБРАЗАЦ </w:t>
      </w:r>
      <w:r>
        <w:rPr>
          <w:b/>
        </w:rPr>
        <w:t>ИЗЈАВ</w:t>
      </w:r>
      <w:r>
        <w:rPr>
          <w:b/>
          <w:lang w:val="sr-Cyrl-CS"/>
        </w:rPr>
        <w:t>Е</w:t>
      </w:r>
      <w:r>
        <w:rPr>
          <w:b/>
        </w:rPr>
        <w:t xml:space="preserve"> О УСКЛАЂЕНОСТИ ПРОПИСА С</w:t>
      </w:r>
      <w:r>
        <w:rPr>
          <w:b/>
          <w:lang w:val="sr-Cyrl-CS"/>
        </w:rPr>
        <w:t>А ПРОПИСИМА ЕВРОПСКЕ УНИЈЕ</w:t>
      </w:r>
    </w:p>
    <w:p w:rsidR="00443A16" w:rsidRDefault="00443A16" w:rsidP="00443A16">
      <w:pPr>
        <w:shd w:val="clear" w:color="auto" w:fill="FFFFFF"/>
        <w:jc w:val="center"/>
        <w:rPr>
          <w:b/>
          <w:lang w:val="sr-Cyrl-CS"/>
        </w:rPr>
      </w:pPr>
    </w:p>
    <w:p w:rsidR="00443A16" w:rsidRDefault="00443A16" w:rsidP="00443A16">
      <w:pPr>
        <w:shd w:val="clear" w:color="auto" w:fill="FFFFFF"/>
        <w:rPr>
          <w:lang w:val="sr-Cyrl-CS"/>
        </w:rPr>
      </w:pPr>
    </w:p>
    <w:p w:rsidR="00443A16" w:rsidRDefault="00443A16" w:rsidP="00443A16">
      <w:pPr>
        <w:numPr>
          <w:ilvl w:val="0"/>
          <w:numId w:val="1"/>
        </w:numPr>
        <w:ind w:left="630" w:hanging="630"/>
        <w:jc w:val="both"/>
        <w:rPr>
          <w:lang w:val="sr-Cyrl-CS"/>
        </w:rPr>
      </w:pPr>
      <w:r>
        <w:rPr>
          <w:lang w:val="sr-Cyrl-CS"/>
        </w:rPr>
        <w:t xml:space="preserve">Орган државне управе, односно други овлашћени предлагач прописа </w:t>
      </w:r>
    </w:p>
    <w:p w:rsidR="00443A16" w:rsidRDefault="00443A16" w:rsidP="00443A16">
      <w:pPr>
        <w:ind w:left="630"/>
        <w:jc w:val="both"/>
        <w:rPr>
          <w:lang w:val="sr-Cyrl-CS"/>
        </w:rPr>
      </w:pPr>
    </w:p>
    <w:p w:rsidR="00443A16" w:rsidRDefault="00443A16" w:rsidP="00443A16">
      <w:pPr>
        <w:ind w:left="720"/>
        <w:jc w:val="both"/>
        <w:rPr>
          <w:lang w:val="sr-Cyrl-RS"/>
        </w:rPr>
      </w:pPr>
      <w:r>
        <w:rPr>
          <w:lang w:val="sr-Cyrl-RS"/>
        </w:rPr>
        <w:t xml:space="preserve">Овлашћени предлагач – Влада </w:t>
      </w:r>
    </w:p>
    <w:p w:rsidR="00443A16" w:rsidRDefault="00443A16" w:rsidP="00443A16">
      <w:pPr>
        <w:ind w:left="720"/>
        <w:jc w:val="both"/>
        <w:rPr>
          <w:lang w:val="sr-Cyrl-RS"/>
        </w:rPr>
      </w:pPr>
      <w:r>
        <w:rPr>
          <w:lang w:val="sr-Cyrl-RS"/>
        </w:rPr>
        <w:t>Обрађивач -</w:t>
      </w:r>
      <w:r>
        <w:rPr>
          <w:lang w:val="ru-RU"/>
        </w:rPr>
        <w:t xml:space="preserve"> Министарство финансија</w:t>
      </w:r>
    </w:p>
    <w:p w:rsidR="00443A16" w:rsidRDefault="00443A16" w:rsidP="00443A16">
      <w:pPr>
        <w:jc w:val="both"/>
      </w:pPr>
    </w:p>
    <w:p w:rsidR="00443A16" w:rsidRDefault="00443A16" w:rsidP="00443A16">
      <w:pPr>
        <w:jc w:val="both"/>
        <w:rPr>
          <w:lang w:val="sr-Cyrl-CS"/>
        </w:rPr>
      </w:pPr>
      <w:r>
        <w:t xml:space="preserve">2. Назив </w:t>
      </w:r>
      <w:r>
        <w:rPr>
          <w:lang w:val="sr-Cyrl-CS"/>
        </w:rPr>
        <w:t>прописа</w:t>
      </w:r>
    </w:p>
    <w:p w:rsidR="00443A16" w:rsidRDefault="00443A16" w:rsidP="00443A16">
      <w:pPr>
        <w:jc w:val="both"/>
        <w:rPr>
          <w:lang w:val="en-US" w:eastAsia="sr-Latn-CS"/>
        </w:rPr>
      </w:pPr>
      <w:r>
        <w:rPr>
          <w:lang w:val="sr-Cyrl-RS"/>
        </w:rPr>
        <w:t xml:space="preserve">     </w:t>
      </w:r>
    </w:p>
    <w:p w:rsidR="00443A16" w:rsidRDefault="00835049" w:rsidP="00443A16">
      <w:pPr>
        <w:widowControl w:val="0"/>
        <w:autoSpaceDE w:val="0"/>
        <w:autoSpaceDN w:val="0"/>
        <w:adjustRightInd w:val="0"/>
        <w:jc w:val="both"/>
        <w:rPr>
          <w:lang w:val="sr-Cyrl-RS" w:eastAsia="sr-Latn-CS"/>
        </w:rPr>
      </w:pPr>
      <w:r>
        <w:rPr>
          <w:lang w:val="sr-Cyrl-RS" w:eastAsia="sr-Latn-CS"/>
        </w:rPr>
        <w:t>ПРЕДЛОГ</w:t>
      </w:r>
      <w:r w:rsidR="00443A16">
        <w:rPr>
          <w:lang w:val="sr-Cyrl-CS" w:eastAsia="sr-Latn-CS"/>
        </w:rPr>
        <w:t xml:space="preserve"> ЗАКОНА О ИЗМЕНАМА И ДОПУНАМА ЗАКОНА О ПОРЕЗУ НА ДОБИТ ПРАВНИХ ЛИЦА</w:t>
      </w:r>
    </w:p>
    <w:p w:rsidR="00443A16" w:rsidRDefault="00443A16" w:rsidP="00443A16">
      <w:pPr>
        <w:widowControl w:val="0"/>
        <w:autoSpaceDE w:val="0"/>
        <w:autoSpaceDN w:val="0"/>
        <w:adjustRightInd w:val="0"/>
        <w:outlineLvl w:val="0"/>
        <w:rPr>
          <w:lang w:val="sr-Cyrl-RS" w:eastAsia="sr-Latn-CS"/>
        </w:rPr>
      </w:pPr>
    </w:p>
    <w:p w:rsidR="00443A16" w:rsidRDefault="00443A16" w:rsidP="00443A16">
      <w:pPr>
        <w:widowControl w:val="0"/>
        <w:autoSpaceDE w:val="0"/>
        <w:autoSpaceDN w:val="0"/>
        <w:adjustRightInd w:val="0"/>
        <w:outlineLvl w:val="0"/>
        <w:rPr>
          <w:sz w:val="20"/>
          <w:szCs w:val="20"/>
          <w:lang w:val="sr-Latn-CS" w:eastAsia="sr-Latn-CS"/>
        </w:rPr>
      </w:pPr>
      <w:r>
        <w:rPr>
          <w:lang w:val="sr-Cyrl-RS" w:eastAsia="sr-Latn-CS"/>
        </w:rPr>
        <w:t>D</w:t>
      </w:r>
      <w:r>
        <w:rPr>
          <w:lang w:val="sr-Latn-RS" w:eastAsia="sr-Latn-CS"/>
        </w:rPr>
        <w:t xml:space="preserve">RAFT LAW ON </w:t>
      </w:r>
      <w:r>
        <w:rPr>
          <w:lang w:val="sr-Cyrl-RS" w:eastAsia="sr-Latn-CS"/>
        </w:rPr>
        <w:t>A</w:t>
      </w:r>
      <w:r>
        <w:rPr>
          <w:lang w:val="sr-Latn-RS" w:eastAsia="sr-Latn-CS"/>
        </w:rPr>
        <w:t xml:space="preserve">MENDMENTS AND SUPPLEMENTS TO LAW ON CORPORATE PROFIT TAX </w:t>
      </w:r>
    </w:p>
    <w:p w:rsidR="00443A16" w:rsidRDefault="00443A16" w:rsidP="00443A16">
      <w:pPr>
        <w:jc w:val="both"/>
        <w:rPr>
          <w:lang w:val="sr-Cyrl-CS"/>
        </w:rPr>
      </w:pPr>
    </w:p>
    <w:p w:rsidR="00443A16" w:rsidRDefault="00443A16" w:rsidP="00443A16">
      <w:pPr>
        <w:jc w:val="both"/>
        <w:rPr>
          <w:lang w:val="en-US"/>
        </w:rPr>
      </w:pPr>
      <w:r>
        <w:rPr>
          <w:lang w:val="sr-Cyrl-CS"/>
        </w:rPr>
        <w:t>3. Усклађеност прописа с одредбама Споразума о стабилизацији и придруживању између Европских заједница и њихових држава чланица, са једне стране, и Републике Србије са друге стране („Службени гласник РС”, број 83/08) (у даљем тексту: Споразум), односно с одредбама Прелазног споразума о трговини и трговинским питањима између Европске заједнице, са једне стране, и Републике Србије, са друге стране („Службени гласник РС”, број 83/08) (у даљем тексту: Прелазни споразум)</w:t>
      </w:r>
    </w:p>
    <w:p w:rsidR="00443A16" w:rsidRDefault="00443A16" w:rsidP="00443A16">
      <w:pPr>
        <w:jc w:val="both"/>
        <w:rPr>
          <w:lang w:val="sr-Cyrl-CS"/>
        </w:rPr>
      </w:pPr>
    </w:p>
    <w:p w:rsidR="00443A16" w:rsidRDefault="00443A16" w:rsidP="00443A16">
      <w:pPr>
        <w:jc w:val="both"/>
        <w:rPr>
          <w:lang w:val="en-US"/>
        </w:rPr>
      </w:pPr>
      <w:r>
        <w:rPr>
          <w:lang w:val="sr-Cyrl-CS"/>
        </w:rPr>
        <w:t>а) Одредба Споразума и Прелазног споразума која се односе на нормативну саржину прописа</w:t>
      </w:r>
    </w:p>
    <w:p w:rsidR="00443A16" w:rsidRDefault="00443A16" w:rsidP="00443A16">
      <w:pPr>
        <w:jc w:val="both"/>
        <w:rPr>
          <w:lang w:val="sr-Cyrl-CS"/>
        </w:rPr>
      </w:pPr>
    </w:p>
    <w:p w:rsidR="00443A16" w:rsidRDefault="00443A16" w:rsidP="00443A16">
      <w:pPr>
        <w:widowControl w:val="0"/>
        <w:autoSpaceDE w:val="0"/>
        <w:autoSpaceDN w:val="0"/>
        <w:adjustRightInd w:val="0"/>
        <w:jc w:val="both"/>
        <w:rPr>
          <w:lang w:val="sr-Cyrl-RS" w:eastAsia="sr-Latn-CS"/>
        </w:rPr>
      </w:pPr>
      <w:r>
        <w:rPr>
          <w:lang w:val="sr-Cyrl-RS" w:eastAsia="sr-Latn-CS"/>
        </w:rPr>
        <w:t xml:space="preserve">Поглавље </w:t>
      </w:r>
      <w:r>
        <w:rPr>
          <w:lang w:val="sr-Latn-RS" w:eastAsia="sr-Latn-CS"/>
        </w:rPr>
        <w:t xml:space="preserve">III – </w:t>
      </w:r>
      <w:r>
        <w:rPr>
          <w:lang w:val="sr-Cyrl-RS" w:eastAsia="sr-Latn-CS"/>
        </w:rPr>
        <w:t>Опште одредбе, члан 37. Споразума (Забрана фискалне дискриминације)</w:t>
      </w:r>
    </w:p>
    <w:p w:rsidR="00443A16" w:rsidRDefault="00443A16" w:rsidP="00443A16">
      <w:pPr>
        <w:jc w:val="both"/>
        <w:rPr>
          <w:lang w:val="sr-Cyrl-RS"/>
        </w:rPr>
      </w:pPr>
      <w:r>
        <w:rPr>
          <w:lang w:val="sr-Cyrl-RS"/>
        </w:rPr>
        <w:t xml:space="preserve">Наслов </w:t>
      </w:r>
      <w:r>
        <w:rPr>
          <w:lang w:val="sr-Latn-RS"/>
        </w:rPr>
        <w:t>VI</w:t>
      </w:r>
      <w:r>
        <w:rPr>
          <w:lang w:val="sr-Cyrl-RS"/>
        </w:rPr>
        <w:t xml:space="preserve"> - Усклађивање прописа, примена права и правила конкуренције, члан 72. Споразума</w:t>
      </w:r>
    </w:p>
    <w:p w:rsidR="00443A16" w:rsidRDefault="00443A16" w:rsidP="00443A16">
      <w:pPr>
        <w:jc w:val="both"/>
        <w:rPr>
          <w:lang w:val="sr-Cyrl-RS"/>
        </w:rPr>
      </w:pPr>
      <w:r>
        <w:rPr>
          <w:lang w:val="sr-Cyrl-RS"/>
        </w:rPr>
        <w:t xml:space="preserve">Наслов </w:t>
      </w:r>
      <w:r>
        <w:rPr>
          <w:lang w:val="sr-Latn-RS"/>
        </w:rPr>
        <w:t>VIII</w:t>
      </w:r>
      <w:r>
        <w:rPr>
          <w:lang w:val="sr-Cyrl-RS"/>
        </w:rPr>
        <w:t xml:space="preserve"> - Политике сарадње, члан 100. Споразума (опорезивање)</w:t>
      </w:r>
    </w:p>
    <w:p w:rsidR="00443A16" w:rsidRDefault="00443A16" w:rsidP="00443A16">
      <w:pPr>
        <w:jc w:val="both"/>
        <w:rPr>
          <w:color w:val="C00000"/>
          <w:lang w:val="en-US"/>
        </w:rPr>
      </w:pPr>
    </w:p>
    <w:p w:rsidR="00443A16" w:rsidRDefault="00443A16" w:rsidP="00443A16">
      <w:pPr>
        <w:jc w:val="both"/>
        <w:rPr>
          <w:lang w:val="sr-Cyrl-CS"/>
        </w:rPr>
      </w:pPr>
    </w:p>
    <w:p w:rsidR="00443A16" w:rsidRDefault="00443A16" w:rsidP="00443A16">
      <w:pPr>
        <w:jc w:val="both"/>
        <w:rPr>
          <w:lang w:val="sr-Cyrl-CS"/>
        </w:rPr>
      </w:pPr>
      <w:r>
        <w:rPr>
          <w:lang w:val="sr-Cyrl-CS"/>
        </w:rPr>
        <w:t>б) Прелазни рок за усклађивање законодавства према одредбама Споразума и Прелазног споразума,</w:t>
      </w:r>
    </w:p>
    <w:p w:rsidR="00443A16" w:rsidRDefault="00443A16" w:rsidP="00443A16">
      <w:pPr>
        <w:jc w:val="both"/>
        <w:rPr>
          <w:lang w:val="sr-Cyrl-RS"/>
        </w:rPr>
      </w:pPr>
    </w:p>
    <w:p w:rsidR="00443A16" w:rsidRDefault="00443A16" w:rsidP="00443A16">
      <w:pPr>
        <w:widowControl w:val="0"/>
        <w:autoSpaceDE w:val="0"/>
        <w:autoSpaceDN w:val="0"/>
        <w:adjustRightInd w:val="0"/>
        <w:jc w:val="both"/>
        <w:rPr>
          <w:lang w:val="sr-Cyrl-RS" w:eastAsia="sr-Latn-CS"/>
        </w:rPr>
      </w:pPr>
      <w:r>
        <w:rPr>
          <w:lang w:val="sr-Cyrl-RS" w:eastAsia="sr-Latn-CS"/>
        </w:rPr>
        <w:t>Примењује се рок из члана 72. Споразума, као општи рок за усклађивање прописа.</w:t>
      </w:r>
    </w:p>
    <w:p w:rsidR="00443A16" w:rsidRDefault="00443A16" w:rsidP="00443A16">
      <w:pPr>
        <w:jc w:val="both"/>
        <w:rPr>
          <w:lang w:val="en-US"/>
        </w:rPr>
      </w:pPr>
    </w:p>
    <w:p w:rsidR="00443A16" w:rsidRDefault="00443A16" w:rsidP="00443A16">
      <w:pPr>
        <w:jc w:val="both"/>
        <w:rPr>
          <w:lang w:val="en-US"/>
        </w:rPr>
      </w:pPr>
      <w:r>
        <w:rPr>
          <w:lang w:val="sr-Cyrl-CS"/>
        </w:rPr>
        <w:t>в) Оцена испуњености обавезе које произлазе из наведене одредбе Споразума и Прелазног споразума</w:t>
      </w:r>
    </w:p>
    <w:p w:rsidR="00443A16" w:rsidRDefault="00443A16" w:rsidP="00443A16">
      <w:pPr>
        <w:jc w:val="both"/>
        <w:rPr>
          <w:lang w:val="sr-Cyrl-CS"/>
        </w:rPr>
      </w:pPr>
    </w:p>
    <w:p w:rsidR="00443A16" w:rsidRDefault="00443A16" w:rsidP="00443A16">
      <w:pPr>
        <w:jc w:val="both"/>
        <w:rPr>
          <w:lang w:val="en-US"/>
        </w:rPr>
      </w:pPr>
      <w:r>
        <w:rPr>
          <w:lang w:val="sr-Cyrl-CS"/>
        </w:rPr>
        <w:t>Испуњава у потпуности.</w:t>
      </w:r>
      <w:r>
        <w:rPr>
          <w:lang w:val="en-US"/>
        </w:rPr>
        <w:t xml:space="preserve"> </w:t>
      </w:r>
    </w:p>
    <w:p w:rsidR="00443A16" w:rsidRDefault="00443A16" w:rsidP="00443A16">
      <w:pPr>
        <w:jc w:val="both"/>
        <w:rPr>
          <w:lang w:val="sr-Cyrl-CS"/>
        </w:rPr>
      </w:pPr>
    </w:p>
    <w:p w:rsidR="00443A16" w:rsidRDefault="00443A16" w:rsidP="00443A16">
      <w:pPr>
        <w:jc w:val="both"/>
        <w:rPr>
          <w:lang w:val="en-US"/>
        </w:rPr>
      </w:pPr>
      <w:r>
        <w:rPr>
          <w:lang w:val="sr-Cyrl-CS"/>
        </w:rPr>
        <w:t>г) Разлози за делимично испуњавање, односно неиспуњавање обавеза које произлазе из наведене одредбе Споразума и Прелазног споразума</w:t>
      </w:r>
    </w:p>
    <w:p w:rsidR="00443A16" w:rsidRDefault="00443A16" w:rsidP="00443A16">
      <w:pPr>
        <w:jc w:val="center"/>
        <w:rPr>
          <w:lang w:val="sr-Latn-RS"/>
        </w:rPr>
      </w:pPr>
      <w:r>
        <w:rPr>
          <w:lang w:val="sr-Latn-RS"/>
        </w:rPr>
        <w:t>/</w:t>
      </w:r>
    </w:p>
    <w:p w:rsidR="00443A16" w:rsidRDefault="00443A16" w:rsidP="00443A16">
      <w:pPr>
        <w:jc w:val="both"/>
        <w:rPr>
          <w:lang w:val="en-US"/>
        </w:rPr>
      </w:pPr>
      <w:r>
        <w:rPr>
          <w:lang w:val="sr-Cyrl-CS"/>
        </w:rPr>
        <w:t>д) Веза са Националним програмом за усвајање правних тековина Европске уније</w:t>
      </w:r>
    </w:p>
    <w:p w:rsidR="00443A16" w:rsidRDefault="00443A16" w:rsidP="00443A16">
      <w:pPr>
        <w:jc w:val="both"/>
      </w:pPr>
    </w:p>
    <w:p w:rsidR="00443A16" w:rsidRDefault="00443A16" w:rsidP="00443A16">
      <w:pPr>
        <w:jc w:val="both"/>
        <w:rPr>
          <w:lang w:val="sr-Cyrl-CS"/>
        </w:rPr>
      </w:pPr>
      <w:r>
        <w:rPr>
          <w:lang w:val="sr-Cyrl-CS"/>
        </w:rPr>
        <w:t>Поглавље 3.16. - Опорезивање</w:t>
      </w:r>
    </w:p>
    <w:p w:rsidR="00443A16" w:rsidRDefault="00443A16" w:rsidP="00443A16">
      <w:pPr>
        <w:jc w:val="both"/>
        <w:rPr>
          <w:lang w:val="sr-Cyrl-CS"/>
        </w:rPr>
      </w:pPr>
    </w:p>
    <w:p w:rsidR="00443A16" w:rsidRDefault="00443A16" w:rsidP="00443A16">
      <w:pPr>
        <w:jc w:val="both"/>
        <w:rPr>
          <w:lang w:val="sr-Cyrl-CS"/>
        </w:rPr>
      </w:pPr>
      <w:r>
        <w:rPr>
          <w:lang w:val="sr-Cyrl-CS"/>
        </w:rPr>
        <w:t xml:space="preserve">4. </w:t>
      </w:r>
      <w:r>
        <w:t>Усклађеност</w:t>
      </w:r>
      <w:r>
        <w:rPr>
          <w:lang w:val="sr-Cyrl-CS"/>
        </w:rPr>
        <w:t xml:space="preserve"> прописа </w:t>
      </w:r>
      <w:r>
        <w:t>с</w:t>
      </w:r>
      <w:r>
        <w:rPr>
          <w:lang w:val="sr-Cyrl-CS"/>
        </w:rPr>
        <w:t>а прописима Европске уније:</w:t>
      </w:r>
    </w:p>
    <w:p w:rsidR="00443A16" w:rsidRDefault="00443A16" w:rsidP="00443A16">
      <w:pPr>
        <w:jc w:val="both"/>
      </w:pPr>
    </w:p>
    <w:p w:rsidR="00443A16" w:rsidRDefault="00443A16" w:rsidP="00443A16">
      <w:pPr>
        <w:jc w:val="both"/>
        <w:rPr>
          <w:lang w:val="sr-Cyrl-RS"/>
        </w:rPr>
      </w:pPr>
      <w:r>
        <w:t xml:space="preserve">а) </w:t>
      </w:r>
      <w:r>
        <w:rPr>
          <w:lang w:val="sr-Cyrl-CS"/>
        </w:rPr>
        <w:t>Навођење</w:t>
      </w:r>
      <w:r>
        <w:rPr>
          <w:lang w:val="sr-Latn-CS"/>
        </w:rPr>
        <w:t xml:space="preserve"> </w:t>
      </w:r>
      <w:r>
        <w:rPr>
          <w:lang w:val="sr-Cyrl-CS"/>
        </w:rPr>
        <w:t>одредби</w:t>
      </w:r>
      <w:r>
        <w:t xml:space="preserve"> примарних извора права Е</w:t>
      </w:r>
      <w:r>
        <w:rPr>
          <w:lang w:val="sr-Cyrl-RS"/>
        </w:rPr>
        <w:t>вропске уније</w:t>
      </w:r>
      <w:r>
        <w:rPr>
          <w:lang w:val="sr-Cyrl-CS"/>
        </w:rPr>
        <w:t xml:space="preserve"> и оцене усклађености са њима</w:t>
      </w:r>
      <w:r>
        <w:rPr>
          <w:lang w:val="sr-Cyrl-RS"/>
        </w:rPr>
        <w:t>,</w:t>
      </w:r>
    </w:p>
    <w:p w:rsidR="00443A16" w:rsidRDefault="00443A16" w:rsidP="00443A16">
      <w:pPr>
        <w:widowControl w:val="0"/>
        <w:autoSpaceDE w:val="0"/>
        <w:autoSpaceDN w:val="0"/>
        <w:adjustRightInd w:val="0"/>
        <w:jc w:val="both"/>
        <w:rPr>
          <w:lang w:val="en-US" w:eastAsia="sr-Latn-CS"/>
        </w:rPr>
      </w:pPr>
    </w:p>
    <w:p w:rsidR="00443A16" w:rsidRDefault="00443A16" w:rsidP="00443A16">
      <w:pPr>
        <w:widowControl w:val="0"/>
        <w:autoSpaceDE w:val="0"/>
        <w:autoSpaceDN w:val="0"/>
        <w:adjustRightInd w:val="0"/>
        <w:jc w:val="both"/>
        <w:rPr>
          <w:lang w:val="sr-Cyrl-CS" w:eastAsia="sr-Latn-CS"/>
        </w:rPr>
      </w:pPr>
      <w:r>
        <w:rPr>
          <w:lang w:val="sr-Cyrl-CS" w:eastAsia="sr-Latn-CS"/>
        </w:rPr>
        <w:t xml:space="preserve">Уговор о функционисању Европске уније, Наслов </w:t>
      </w:r>
      <w:r>
        <w:rPr>
          <w:lang w:val="sr-Latn-RS" w:eastAsia="sr-Latn-CS"/>
        </w:rPr>
        <w:t xml:space="preserve">VII </w:t>
      </w:r>
      <w:r>
        <w:rPr>
          <w:lang w:val="sr-Cyrl-CS" w:eastAsia="sr-Latn-CS"/>
        </w:rPr>
        <w:t xml:space="preserve">Заједничка правила о конкуренцији, опорезивању и усклађивању прописа – потпуно усклађено. </w:t>
      </w:r>
    </w:p>
    <w:p w:rsidR="00443A16" w:rsidRDefault="00443A16" w:rsidP="00443A16">
      <w:pPr>
        <w:jc w:val="both"/>
        <w:rPr>
          <w:lang w:val="en-US"/>
        </w:rPr>
      </w:pPr>
    </w:p>
    <w:p w:rsidR="00443A16" w:rsidRDefault="00443A16" w:rsidP="00443A16">
      <w:pPr>
        <w:jc w:val="both"/>
        <w:rPr>
          <w:lang w:val="en-US"/>
        </w:rPr>
      </w:pPr>
    </w:p>
    <w:p w:rsidR="00443A16" w:rsidRDefault="00443A16" w:rsidP="00443A16">
      <w:pPr>
        <w:jc w:val="both"/>
        <w:rPr>
          <w:lang w:val="sr-Cyrl-CS"/>
        </w:rPr>
      </w:pPr>
      <w:r>
        <w:t xml:space="preserve">б) </w:t>
      </w:r>
      <w:r>
        <w:rPr>
          <w:lang w:val="sr-Cyrl-CS"/>
        </w:rPr>
        <w:t>Навођење</w:t>
      </w:r>
      <w:r>
        <w:t xml:space="preserve"> секундарних извора права Е</w:t>
      </w:r>
      <w:r>
        <w:rPr>
          <w:lang w:val="sr-Cyrl-RS"/>
        </w:rPr>
        <w:t xml:space="preserve">вропске уније </w:t>
      </w:r>
      <w:r>
        <w:rPr>
          <w:lang w:val="sr-Cyrl-CS"/>
        </w:rPr>
        <w:t>и оцене усклађености са њима</w:t>
      </w:r>
    </w:p>
    <w:p w:rsidR="00443A16" w:rsidRDefault="00443A16" w:rsidP="00443A16">
      <w:pPr>
        <w:jc w:val="both"/>
        <w:rPr>
          <w:lang w:val="sr-Cyrl-CS"/>
        </w:rPr>
      </w:pPr>
    </w:p>
    <w:p w:rsidR="00443A16" w:rsidRDefault="00443A16" w:rsidP="00443A16">
      <w:pPr>
        <w:widowControl w:val="0"/>
        <w:autoSpaceDE w:val="0"/>
        <w:autoSpaceDN w:val="0"/>
        <w:adjustRightInd w:val="0"/>
        <w:jc w:val="both"/>
        <w:rPr>
          <w:lang w:val="sr-Cyrl-RS" w:eastAsia="sr-Latn-CS"/>
        </w:rPr>
      </w:pPr>
      <w:r>
        <w:rPr>
          <w:lang w:val="sr-Cyrl-RS" w:eastAsia="sr-Latn-CS"/>
        </w:rPr>
        <w:t>Закон којим се уређује опорезивање добити правних лица предмет је усаглашавања са Директивама ЕУ (као секундарним извором права ЕУ), и то:</w:t>
      </w:r>
    </w:p>
    <w:p w:rsidR="00443A16" w:rsidRDefault="00443A16" w:rsidP="00443A16">
      <w:pPr>
        <w:widowControl w:val="0"/>
        <w:autoSpaceDE w:val="0"/>
        <w:autoSpaceDN w:val="0"/>
        <w:adjustRightInd w:val="0"/>
        <w:jc w:val="both"/>
        <w:rPr>
          <w:lang w:val="sr-Cyrl-RS" w:eastAsia="sr-Latn-CS"/>
        </w:rPr>
      </w:pPr>
      <w:r>
        <w:rPr>
          <w:lang w:val="sr-Cyrl-RS" w:eastAsia="sr-Latn-CS"/>
        </w:rPr>
        <w:t>Директива 2009/133/ЕЗ о заједничком систему опорезивања у случају спајања, деоба, преноса имовине и замене удела привредних друштава различитих држава – чланица ЕУ;</w:t>
      </w:r>
    </w:p>
    <w:p w:rsidR="00443A16" w:rsidRDefault="00443A16" w:rsidP="00443A16">
      <w:pPr>
        <w:widowControl w:val="0"/>
        <w:autoSpaceDE w:val="0"/>
        <w:autoSpaceDN w:val="0"/>
        <w:adjustRightInd w:val="0"/>
        <w:jc w:val="both"/>
        <w:rPr>
          <w:lang w:val="sr-Cyrl-RS" w:eastAsia="sr-Latn-CS"/>
        </w:rPr>
      </w:pPr>
      <w:r>
        <w:rPr>
          <w:lang w:val="sr-Cyrl-RS" w:eastAsia="sr-Latn-CS"/>
        </w:rPr>
        <w:t>Директива 2011/96/ЕУ о заједничком систему опорезивања матичних и зависних привредних друштава различитих држава – чланица ЕУ;</w:t>
      </w:r>
    </w:p>
    <w:p w:rsidR="00443A16" w:rsidRDefault="00443A16" w:rsidP="00443A16">
      <w:pPr>
        <w:widowControl w:val="0"/>
        <w:autoSpaceDE w:val="0"/>
        <w:autoSpaceDN w:val="0"/>
        <w:adjustRightInd w:val="0"/>
        <w:jc w:val="both"/>
        <w:rPr>
          <w:lang w:val="sr-Cyrl-RS" w:eastAsia="sr-Latn-CS"/>
        </w:rPr>
      </w:pPr>
      <w:r>
        <w:rPr>
          <w:lang w:val="sr-Cyrl-RS" w:eastAsia="sr-Latn-CS"/>
        </w:rPr>
        <w:t>Директива 2003/49/ЕЗ о заједничком систему опорезивања камата и ауторских хонорара између повезаних друштава различитих држава – чланица ЕУ.</w:t>
      </w:r>
    </w:p>
    <w:p w:rsidR="00443A16" w:rsidRDefault="00443A16" w:rsidP="00443A16">
      <w:pPr>
        <w:jc w:val="both"/>
        <w:rPr>
          <w:lang w:val="sr-Cyrl-RS"/>
        </w:rPr>
      </w:pPr>
    </w:p>
    <w:p w:rsidR="00443A16" w:rsidRDefault="00443A16" w:rsidP="00443A16">
      <w:pPr>
        <w:widowControl w:val="0"/>
        <w:autoSpaceDE w:val="0"/>
        <w:autoSpaceDN w:val="0"/>
        <w:adjustRightInd w:val="0"/>
        <w:jc w:val="both"/>
        <w:rPr>
          <w:lang w:val="sr-Cyrl-RS"/>
        </w:rPr>
      </w:pPr>
      <w:r>
        <w:rPr>
          <w:lang w:val="sr-Cyrl-RS"/>
        </w:rPr>
        <w:t xml:space="preserve">Предложеним решењима у </w:t>
      </w:r>
      <w:r w:rsidR="00835049">
        <w:rPr>
          <w:lang w:val="sr-Cyrl-RS"/>
        </w:rPr>
        <w:t>Предлогу</w:t>
      </w:r>
      <w:r>
        <w:rPr>
          <w:lang w:val="sr-Cyrl-RS"/>
        </w:rPr>
        <w:t xml:space="preserve"> закона о изменама и допунама Закона о порезу на добит правних лица не врши се усклађивање са Директивама ЕУ.</w:t>
      </w:r>
    </w:p>
    <w:p w:rsidR="00443A16" w:rsidRDefault="00443A16" w:rsidP="00443A16">
      <w:pPr>
        <w:jc w:val="both"/>
        <w:rPr>
          <w:lang w:val="sr-Cyrl-RS"/>
        </w:rPr>
      </w:pPr>
    </w:p>
    <w:p w:rsidR="00443A16" w:rsidRDefault="00443A16" w:rsidP="00443A16">
      <w:pPr>
        <w:jc w:val="both"/>
        <w:rPr>
          <w:lang w:val="sr-Cyrl-CS"/>
        </w:rPr>
      </w:pPr>
      <w:r>
        <w:rPr>
          <w:lang w:val="sr-Cyrl-CS"/>
        </w:rPr>
        <w:t>в</w:t>
      </w:r>
      <w:r>
        <w:t xml:space="preserve">) </w:t>
      </w:r>
      <w:r>
        <w:rPr>
          <w:lang w:val="sr-Cyrl-CS"/>
        </w:rPr>
        <w:t>Навођење осталих извора права Европске уније и усклађенст са њима</w:t>
      </w:r>
    </w:p>
    <w:p w:rsidR="00443A16" w:rsidRDefault="00443A16" w:rsidP="00443A16">
      <w:pPr>
        <w:jc w:val="center"/>
        <w:rPr>
          <w:lang w:val="sr-Cyrl-CS"/>
        </w:rPr>
      </w:pPr>
      <w:r>
        <w:rPr>
          <w:lang w:val="sr-Cyrl-CS"/>
        </w:rPr>
        <w:t>/</w:t>
      </w:r>
    </w:p>
    <w:p w:rsidR="00443A16" w:rsidRDefault="00443A16" w:rsidP="00443A16">
      <w:pPr>
        <w:jc w:val="both"/>
      </w:pPr>
      <w:r>
        <w:rPr>
          <w:lang w:val="sr-Cyrl-CS"/>
        </w:rPr>
        <w:t>г</w:t>
      </w:r>
      <w:r>
        <w:t xml:space="preserve">) </w:t>
      </w:r>
      <w:r>
        <w:rPr>
          <w:lang w:val="sr-Cyrl-CS"/>
        </w:rPr>
        <w:t>Р</w:t>
      </w:r>
      <w:r>
        <w:t>азлози за дел</w:t>
      </w:r>
      <w:r>
        <w:rPr>
          <w:lang w:val="sr-Cyrl-CS"/>
        </w:rPr>
        <w:t>и</w:t>
      </w:r>
      <w:r>
        <w:t>мичну усклађеност</w:t>
      </w:r>
      <w:r>
        <w:rPr>
          <w:lang w:val="sr-Cyrl-CS"/>
        </w:rPr>
        <w:t>,</w:t>
      </w:r>
      <w:r>
        <w:t xml:space="preserve"> односно неусклађеност</w:t>
      </w:r>
    </w:p>
    <w:p w:rsidR="00443A16" w:rsidRDefault="00443A16" w:rsidP="00443A16">
      <w:pPr>
        <w:jc w:val="both"/>
        <w:rPr>
          <w:color w:val="000000"/>
          <w:sz w:val="20"/>
          <w:szCs w:val="20"/>
          <w:lang w:val="ru-RU"/>
        </w:rPr>
      </w:pPr>
    </w:p>
    <w:p w:rsidR="00443A16" w:rsidRDefault="00443A16" w:rsidP="00443A16">
      <w:pPr>
        <w:jc w:val="both"/>
        <w:rPr>
          <w:lang w:val="sr-Cyrl-RS"/>
        </w:rPr>
      </w:pPr>
    </w:p>
    <w:p w:rsidR="00443A16" w:rsidRDefault="00443A16" w:rsidP="00443A16">
      <w:pPr>
        <w:jc w:val="both"/>
        <w:rPr>
          <w:lang w:val="sr-Cyrl-CS"/>
        </w:rPr>
      </w:pPr>
      <w:r>
        <w:rPr>
          <w:lang w:val="sr-Cyrl-CS"/>
        </w:rPr>
        <w:t>д</w:t>
      </w:r>
      <w:r>
        <w:t>)</w:t>
      </w:r>
      <w:r>
        <w:rPr>
          <w:lang w:val="sr-Cyrl-CS"/>
        </w:rPr>
        <w:t xml:space="preserve"> Р</w:t>
      </w:r>
      <w:r>
        <w:t xml:space="preserve">ок у којем је предвиђено постизање потпуне усклађености </w:t>
      </w:r>
      <w:r>
        <w:rPr>
          <w:lang w:val="sr-Cyrl-CS"/>
        </w:rPr>
        <w:t>прописа</w:t>
      </w:r>
      <w:r>
        <w:t xml:space="preserve"> с</w:t>
      </w:r>
      <w:r>
        <w:rPr>
          <w:lang w:val="sr-Cyrl-CS"/>
        </w:rPr>
        <w:t>а прописима Европске уније</w:t>
      </w:r>
    </w:p>
    <w:p w:rsidR="00443A16" w:rsidRDefault="00443A16" w:rsidP="00443A16">
      <w:pPr>
        <w:jc w:val="both"/>
        <w:rPr>
          <w:i/>
          <w:lang w:val="sr-Cyrl-CS"/>
        </w:rPr>
      </w:pPr>
    </w:p>
    <w:p w:rsidR="00443A16" w:rsidRDefault="00443A16" w:rsidP="00443A16">
      <w:pPr>
        <w:jc w:val="both"/>
        <w:rPr>
          <w:sz w:val="22"/>
          <w:szCs w:val="22"/>
        </w:rPr>
      </w:pPr>
      <w:r>
        <w:rPr>
          <w:sz w:val="22"/>
          <w:szCs w:val="22"/>
        </w:rPr>
        <w:t xml:space="preserve">Потпуна усклађеност Закона о порезу на </w:t>
      </w:r>
      <w:r>
        <w:rPr>
          <w:sz w:val="22"/>
          <w:szCs w:val="22"/>
          <w:lang w:val="sr-Cyrl-RS"/>
        </w:rPr>
        <w:t>добит оравних лица</w:t>
      </w:r>
      <w:r>
        <w:rPr>
          <w:sz w:val="22"/>
          <w:szCs w:val="22"/>
        </w:rPr>
        <w:t xml:space="preserve"> треба да се постигне у наредном периоду, у предвиђеним роковима.</w:t>
      </w:r>
    </w:p>
    <w:p w:rsidR="00443A16" w:rsidRDefault="00443A16" w:rsidP="00443A16">
      <w:pPr>
        <w:jc w:val="both"/>
        <w:rPr>
          <w:lang w:val="sr-Cyrl-CS"/>
        </w:rPr>
      </w:pPr>
    </w:p>
    <w:p w:rsidR="00443A16" w:rsidRDefault="00443A16" w:rsidP="00443A16">
      <w:pPr>
        <w:jc w:val="both"/>
        <w:rPr>
          <w:color w:val="000000"/>
          <w:lang w:val="ru-RU"/>
        </w:rPr>
      </w:pPr>
      <w:r>
        <w:rPr>
          <w:lang w:val="sr-Cyrl-CS"/>
        </w:rPr>
        <w:t>5</w:t>
      </w:r>
      <w:r>
        <w:rPr>
          <w:lang w:val="ru-RU"/>
        </w:rPr>
        <w:t>. Уколико не постоје одговарајуће надлежности Европске уније у материји коју регулише пропис, и/или не постоје одговарајући секундарни извори права</w:t>
      </w:r>
      <w:r>
        <w:rPr>
          <w:color w:val="000000"/>
          <w:lang w:val="ru-RU"/>
        </w:rPr>
        <w:t xml:space="preserve"> Европске уније са којима је потребно обезбедити усклађеност, потребно је образложити ту чињеницу. У овом случају, није потребно попуњавати Табелу усклађености прописа. Табелу усклађености није потребно попуњавати и уколико се домаћим прописом не врши пренос одредби секундарног извора права Европске уније већ се искључиво врши примена или спровођење неког захтева који произилази из одредбе секундарног извора права (нпр. Предлогом одлуке о изради стратешке процене утицаја биће спроведена обавеза из члана 4. Директиве 2001/42/ЕЗ, али се не врши и пренос те одредбе директиве). </w:t>
      </w:r>
    </w:p>
    <w:p w:rsidR="00443A16" w:rsidRDefault="00443A16" w:rsidP="00443A16">
      <w:pPr>
        <w:jc w:val="both"/>
        <w:rPr>
          <w:color w:val="000000"/>
          <w:lang w:val="ru-RU"/>
        </w:rPr>
      </w:pPr>
      <w:r>
        <w:rPr>
          <w:color w:val="000000"/>
          <w:lang w:val="ru-RU"/>
        </w:rPr>
        <w:t xml:space="preserve"> </w:t>
      </w:r>
    </w:p>
    <w:p w:rsidR="00443A16" w:rsidRDefault="00443A16" w:rsidP="00443A16">
      <w:pPr>
        <w:widowControl w:val="0"/>
        <w:autoSpaceDE w:val="0"/>
        <w:autoSpaceDN w:val="0"/>
        <w:adjustRightInd w:val="0"/>
        <w:jc w:val="both"/>
        <w:rPr>
          <w:lang w:val="sr-Cyrl-RS" w:eastAsia="sr-Latn-CS"/>
        </w:rPr>
      </w:pPr>
      <w:r>
        <w:rPr>
          <w:lang w:val="sr-Cyrl-RS" w:eastAsia="sr-Latn-CS"/>
        </w:rPr>
        <w:t>Закон којим се уређује опорезивање добити правних лица предмет је усаглашавања са Директивама ЕУ (као секундарним извором права ЕУ). Међутим, имајући у виду да предметне директиве (Директива 2009/133/ЕЗ</w:t>
      </w:r>
      <w:bookmarkStart w:id="0" w:name="_GoBack"/>
      <w:bookmarkEnd w:id="0"/>
      <w:r>
        <w:rPr>
          <w:lang w:val="sr-Cyrl-RS" w:eastAsia="sr-Latn-CS"/>
        </w:rPr>
        <w:t xml:space="preserve">, Директива 2011/96/ЕУ, Директива </w:t>
      </w:r>
      <w:r>
        <w:rPr>
          <w:lang w:val="sr-Cyrl-RS" w:eastAsia="sr-Latn-CS"/>
        </w:rPr>
        <w:lastRenderedPageBreak/>
        <w:t xml:space="preserve">2003/49/ЕЗ), нису релевантне за нормативну уређеност </w:t>
      </w:r>
      <w:r w:rsidR="00835049">
        <w:rPr>
          <w:lang w:val="sr-Cyrl-RS"/>
        </w:rPr>
        <w:t>Предлога</w:t>
      </w:r>
      <w:r>
        <w:rPr>
          <w:lang w:val="sr-Cyrl-RS"/>
        </w:rPr>
        <w:t xml:space="preserve"> </w:t>
      </w:r>
      <w:r>
        <w:rPr>
          <w:lang w:val="sr-Cyrl-RS" w:eastAsia="sr-Latn-CS"/>
        </w:rPr>
        <w:t>закона о изменама и допунама Закона о порезу на добит правних лица, сматрамо да није потребно попуњавати Табелу усклађености прописа.</w:t>
      </w:r>
    </w:p>
    <w:p w:rsidR="00443A16" w:rsidRDefault="00443A16" w:rsidP="00443A16">
      <w:pPr>
        <w:jc w:val="both"/>
        <w:rPr>
          <w:lang w:val="sr-Cyrl-CS"/>
        </w:rPr>
      </w:pPr>
    </w:p>
    <w:p w:rsidR="00443A16" w:rsidRDefault="00443A16" w:rsidP="00443A16">
      <w:pPr>
        <w:jc w:val="both"/>
      </w:pPr>
      <w:r>
        <w:rPr>
          <w:lang w:val="sr-Cyrl-CS"/>
        </w:rPr>
        <w:t>6</w:t>
      </w:r>
      <w:r>
        <w:t xml:space="preserve">. </w:t>
      </w:r>
      <w:r>
        <w:rPr>
          <w:lang w:val="sr-Cyrl-CS"/>
        </w:rPr>
        <w:t xml:space="preserve">Да </w:t>
      </w:r>
      <w:r>
        <w:t>ли</w:t>
      </w:r>
      <w:r>
        <w:rPr>
          <w:lang w:val="sr-Cyrl-CS"/>
        </w:rPr>
        <w:t xml:space="preserve"> су претходно</w:t>
      </w:r>
      <w:r>
        <w:t xml:space="preserve"> наведени извори права Е</w:t>
      </w:r>
      <w:r>
        <w:rPr>
          <w:lang w:val="sr-Cyrl-RS"/>
        </w:rPr>
        <w:t xml:space="preserve">вропске уније </w:t>
      </w:r>
      <w:r>
        <w:t xml:space="preserve">преведени на </w:t>
      </w:r>
      <w:r>
        <w:rPr>
          <w:lang w:val="sr-Cyrl-CS"/>
        </w:rPr>
        <w:t>срп</w:t>
      </w:r>
      <w:r>
        <w:t>ски језик?</w:t>
      </w:r>
    </w:p>
    <w:p w:rsidR="00443A16" w:rsidRDefault="00443A16" w:rsidP="00443A16">
      <w:pPr>
        <w:jc w:val="both"/>
      </w:pPr>
    </w:p>
    <w:p w:rsidR="00443A16" w:rsidRDefault="00443A16" w:rsidP="00443A16">
      <w:pPr>
        <w:jc w:val="both"/>
      </w:pPr>
      <w:r>
        <w:rPr>
          <w:lang w:val="sr-Cyrl-CS"/>
        </w:rPr>
        <w:t xml:space="preserve">Наведени извори права </w:t>
      </w:r>
      <w:r>
        <w:t>Е</w:t>
      </w:r>
      <w:r>
        <w:rPr>
          <w:lang w:val="sr-Cyrl-RS"/>
        </w:rPr>
        <w:t>вропске уније</w:t>
      </w:r>
      <w:r>
        <w:rPr>
          <w:lang w:val="sr-Cyrl-CS"/>
        </w:rPr>
        <w:t xml:space="preserve"> су у поступку превођења на српски језик.</w:t>
      </w:r>
    </w:p>
    <w:p w:rsidR="00443A16" w:rsidRDefault="00443A16" w:rsidP="00443A16">
      <w:pPr>
        <w:jc w:val="both"/>
      </w:pPr>
    </w:p>
    <w:p w:rsidR="00443A16" w:rsidRDefault="00443A16" w:rsidP="00443A16">
      <w:pPr>
        <w:jc w:val="both"/>
      </w:pPr>
      <w:r>
        <w:rPr>
          <w:lang w:val="sr-Cyrl-CS"/>
        </w:rPr>
        <w:t>7</w:t>
      </w:r>
      <w:r>
        <w:t xml:space="preserve">. </w:t>
      </w:r>
      <w:r>
        <w:rPr>
          <w:lang w:val="sr-Cyrl-CS"/>
        </w:rPr>
        <w:t>Да ли је</w:t>
      </w:r>
      <w:r>
        <w:t xml:space="preserve"> пропис преведен на неки службени језик Е</w:t>
      </w:r>
      <w:r>
        <w:rPr>
          <w:lang w:val="sr-Cyrl-RS"/>
        </w:rPr>
        <w:t>вропске уније</w:t>
      </w:r>
      <w:r>
        <w:t>?</w:t>
      </w:r>
    </w:p>
    <w:p w:rsidR="00443A16" w:rsidRDefault="00443A16" w:rsidP="00443A16">
      <w:pPr>
        <w:rPr>
          <w:lang w:val="sr-Cyrl-RS"/>
        </w:rPr>
      </w:pPr>
      <w:r>
        <w:t>Не</w:t>
      </w:r>
      <w:r>
        <w:rPr>
          <w:lang w:val="sr-Cyrl-RS"/>
        </w:rPr>
        <w:t>.</w:t>
      </w:r>
    </w:p>
    <w:p w:rsidR="00443A16" w:rsidRDefault="00443A16" w:rsidP="00443A16">
      <w:pPr>
        <w:jc w:val="both"/>
      </w:pPr>
    </w:p>
    <w:p w:rsidR="00443A16" w:rsidRDefault="00443A16" w:rsidP="00443A16">
      <w:pPr>
        <w:jc w:val="both"/>
      </w:pPr>
      <w:r>
        <w:rPr>
          <w:lang w:val="sr-Cyrl-CS"/>
        </w:rPr>
        <w:t>8</w:t>
      </w:r>
      <w:r>
        <w:t xml:space="preserve">. </w:t>
      </w:r>
      <w:r>
        <w:rPr>
          <w:lang w:val="sr-Cyrl-CS"/>
        </w:rPr>
        <w:t>Учешће</w:t>
      </w:r>
      <w:r>
        <w:t xml:space="preserve"> кон</w:t>
      </w:r>
      <w:r>
        <w:rPr>
          <w:lang w:val="sr-Cyrl-CS"/>
        </w:rPr>
        <w:t>с</w:t>
      </w:r>
      <w:r>
        <w:t>ултаната у изради прописа</w:t>
      </w:r>
      <w:r>
        <w:rPr>
          <w:lang w:val="sr-Cyrl-CS"/>
        </w:rPr>
        <w:t xml:space="preserve"> </w:t>
      </w:r>
      <w:r>
        <w:t>и њихово мишљење о усклађености</w:t>
      </w:r>
    </w:p>
    <w:p w:rsidR="00443A16" w:rsidRDefault="00443A16" w:rsidP="00443A16">
      <w:pPr>
        <w:jc w:val="both"/>
        <w:rPr>
          <w:lang w:val="en-US"/>
        </w:rPr>
      </w:pPr>
    </w:p>
    <w:p w:rsidR="00443A16" w:rsidRDefault="00443A16" w:rsidP="00443A16">
      <w:pPr>
        <w:rPr>
          <w:lang w:val="sr-Cyrl-RS"/>
        </w:rPr>
      </w:pPr>
    </w:p>
    <w:p w:rsidR="00443A16" w:rsidRDefault="00443A16" w:rsidP="00443A16">
      <w:pPr>
        <w:jc w:val="both"/>
        <w:rPr>
          <w:sz w:val="22"/>
          <w:szCs w:val="22"/>
          <w:lang w:val="sr-Cyrl-CS"/>
        </w:rPr>
      </w:pPr>
      <w:r>
        <w:rPr>
          <w:sz w:val="22"/>
          <w:szCs w:val="22"/>
          <w:lang w:val="sr-Cyrl-CS"/>
        </w:rPr>
        <w:t xml:space="preserve">У изради </w:t>
      </w:r>
      <w:r w:rsidR="00835049">
        <w:rPr>
          <w:sz w:val="22"/>
          <w:szCs w:val="22"/>
          <w:lang w:val="sr-Cyrl-RS"/>
        </w:rPr>
        <w:t>Предлога</w:t>
      </w:r>
      <w:r>
        <w:rPr>
          <w:sz w:val="22"/>
          <w:szCs w:val="22"/>
          <w:lang w:val="sr-Cyrl-CS"/>
        </w:rPr>
        <w:t xml:space="preserve"> закона о измен</w:t>
      </w:r>
      <w:r>
        <w:rPr>
          <w:sz w:val="22"/>
          <w:szCs w:val="22"/>
        </w:rPr>
        <w:t xml:space="preserve">aма и допунама </w:t>
      </w:r>
      <w:r>
        <w:rPr>
          <w:sz w:val="22"/>
          <w:szCs w:val="22"/>
          <w:lang w:val="sr-Cyrl-CS"/>
        </w:rPr>
        <w:t>Закона о порезу на добит правних лица није остварена сарадња са Европском унијом и нису учествовали консултанти.</w:t>
      </w:r>
    </w:p>
    <w:p w:rsidR="00443A16" w:rsidRDefault="00443A16" w:rsidP="00443A16">
      <w:pPr>
        <w:jc w:val="both"/>
        <w:rPr>
          <w:sz w:val="22"/>
          <w:szCs w:val="22"/>
          <w:lang w:val="sr-Cyrl-CS"/>
        </w:rPr>
      </w:pPr>
    </w:p>
    <w:sectPr w:rsidR="00443A16" w:rsidSect="00E57FDC">
      <w:footerReference w:type="default" r:id="rId7"/>
      <w:pgSz w:w="11906" w:h="16838"/>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23F" w:rsidRDefault="0082723F" w:rsidP="00E57FDC">
      <w:r>
        <w:separator/>
      </w:r>
    </w:p>
  </w:endnote>
  <w:endnote w:type="continuationSeparator" w:id="0">
    <w:p w:rsidR="0082723F" w:rsidRDefault="0082723F" w:rsidP="00E57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6521221"/>
      <w:docPartObj>
        <w:docPartGallery w:val="Page Numbers (Bottom of Page)"/>
        <w:docPartUnique/>
      </w:docPartObj>
    </w:sdtPr>
    <w:sdtEndPr>
      <w:rPr>
        <w:noProof/>
      </w:rPr>
    </w:sdtEndPr>
    <w:sdtContent>
      <w:p w:rsidR="00E57FDC" w:rsidRDefault="00E57FDC">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E57FDC" w:rsidRDefault="00E57FD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23F" w:rsidRDefault="0082723F" w:rsidP="00E57FDC">
      <w:r>
        <w:separator/>
      </w:r>
    </w:p>
  </w:footnote>
  <w:footnote w:type="continuationSeparator" w:id="0">
    <w:p w:rsidR="0082723F" w:rsidRDefault="0082723F" w:rsidP="00E57FD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10C88"/>
    <w:multiLevelType w:val="hybridMultilevel"/>
    <w:tmpl w:val="BB9CDD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16"/>
    <w:rsid w:val="00443A16"/>
    <w:rsid w:val="00682F73"/>
    <w:rsid w:val="0082723F"/>
    <w:rsid w:val="00835049"/>
    <w:rsid w:val="00E57FD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673D2"/>
  <w15:docId w15:val="{F67D14E7-9B35-426B-B895-45A80E889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A16"/>
    <w:pPr>
      <w:spacing w:after="0" w:line="240" w:lineRule="auto"/>
    </w:pPr>
    <w:rPr>
      <w:rFonts w:ascii="Times New Roman" w:eastAsia="Times New Roman" w:hAnsi="Times New Roman" w:cs="Times New Roman"/>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FDC"/>
    <w:pPr>
      <w:tabs>
        <w:tab w:val="center" w:pos="4680"/>
        <w:tab w:val="right" w:pos="9360"/>
      </w:tabs>
    </w:pPr>
  </w:style>
  <w:style w:type="character" w:customStyle="1" w:styleId="HeaderChar">
    <w:name w:val="Header Char"/>
    <w:basedOn w:val="DefaultParagraphFont"/>
    <w:link w:val="Header"/>
    <w:uiPriority w:val="99"/>
    <w:rsid w:val="00E57FDC"/>
    <w:rPr>
      <w:rFonts w:ascii="Times New Roman" w:eastAsia="Times New Roman" w:hAnsi="Times New Roman" w:cs="Times New Roman"/>
      <w:sz w:val="24"/>
      <w:szCs w:val="24"/>
      <w:lang w:val="hr-HR" w:eastAsia="hr-HR"/>
    </w:rPr>
  </w:style>
  <w:style w:type="paragraph" w:styleId="Footer">
    <w:name w:val="footer"/>
    <w:basedOn w:val="Normal"/>
    <w:link w:val="FooterChar"/>
    <w:uiPriority w:val="99"/>
    <w:unhideWhenUsed/>
    <w:rsid w:val="00E57FDC"/>
    <w:pPr>
      <w:tabs>
        <w:tab w:val="center" w:pos="4680"/>
        <w:tab w:val="right" w:pos="9360"/>
      </w:tabs>
    </w:pPr>
  </w:style>
  <w:style w:type="character" w:customStyle="1" w:styleId="FooterChar">
    <w:name w:val="Footer Char"/>
    <w:basedOn w:val="DefaultParagraphFont"/>
    <w:link w:val="Footer"/>
    <w:uiPriority w:val="99"/>
    <w:rsid w:val="00E57FDC"/>
    <w:rPr>
      <w:rFonts w:ascii="Times New Roman" w:eastAsia="Times New Roman" w:hAnsi="Times New Roman" w:cs="Times New Roman"/>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8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 Todorovic</dc:creator>
  <cp:lastModifiedBy>Snezana Marinovic</cp:lastModifiedBy>
  <cp:revision>3</cp:revision>
  <dcterms:created xsi:type="dcterms:W3CDTF">2017-11-30T10:16:00Z</dcterms:created>
  <dcterms:modified xsi:type="dcterms:W3CDTF">2017-12-01T14:47:00Z</dcterms:modified>
</cp:coreProperties>
</file>